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14BE9B" w14:textId="77777777" w:rsidR="00FA5728" w:rsidRDefault="00FA5728">
      <w:pPr>
        <w:pStyle w:val="BodyText"/>
        <w:rPr>
          <w:sz w:val="20"/>
        </w:rPr>
      </w:pPr>
    </w:p>
    <w:p w14:paraId="08E13979" w14:textId="77777777" w:rsidR="00FA5728" w:rsidRDefault="00FA5728">
      <w:pPr>
        <w:pStyle w:val="BodyText"/>
        <w:rPr>
          <w:sz w:val="20"/>
        </w:rPr>
      </w:pPr>
    </w:p>
    <w:p w14:paraId="43667F7E" w14:textId="77777777" w:rsidR="00FA5728" w:rsidRDefault="00FA5728">
      <w:pPr>
        <w:pStyle w:val="BodyText"/>
        <w:rPr>
          <w:sz w:val="20"/>
        </w:rPr>
      </w:pPr>
    </w:p>
    <w:p w14:paraId="4E35E8E1" w14:textId="77777777" w:rsidR="00FA5728" w:rsidRDefault="00FA5728">
      <w:pPr>
        <w:pStyle w:val="BodyText"/>
        <w:spacing w:before="7"/>
        <w:rPr>
          <w:sz w:val="25"/>
        </w:rPr>
      </w:pPr>
    </w:p>
    <w:p w14:paraId="0533CCFE" w14:textId="77777777" w:rsidR="00FA5728" w:rsidRDefault="00401A0E">
      <w:pPr>
        <w:spacing w:before="79"/>
        <w:ind w:left="100"/>
        <w:rPr>
          <w:b/>
          <w:sz w:val="52"/>
        </w:rPr>
      </w:pPr>
      <w:r>
        <w:rPr>
          <w:noProof/>
        </w:rPr>
        <w:drawing>
          <wp:anchor distT="0" distB="0" distL="0" distR="0" simplePos="0" relativeHeight="1024" behindDoc="0" locked="0" layoutInCell="1" allowOverlap="1" wp14:anchorId="572DDED5" wp14:editId="15CA86A5">
            <wp:simplePos x="0" y="0"/>
            <wp:positionH relativeFrom="page">
              <wp:posOffset>5617209</wp:posOffset>
            </wp:positionH>
            <wp:positionV relativeFrom="paragraph">
              <wp:posOffset>-627463</wp:posOffset>
            </wp:positionV>
            <wp:extent cx="1028699" cy="102870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1028699" cy="1028700"/>
                    </a:xfrm>
                    <a:prstGeom prst="rect">
                      <a:avLst/>
                    </a:prstGeom>
                  </pic:spPr>
                </pic:pic>
              </a:graphicData>
            </a:graphic>
          </wp:anchor>
        </w:drawing>
      </w:r>
      <w:r>
        <w:rPr>
          <w:b/>
          <w:sz w:val="52"/>
        </w:rPr>
        <w:t>Academic dress</w:t>
      </w:r>
    </w:p>
    <w:p w14:paraId="2F4BEA2A" w14:textId="77777777" w:rsidR="00FA5728" w:rsidRDefault="00FA5728">
      <w:pPr>
        <w:pStyle w:val="BodyText"/>
        <w:spacing w:before="9"/>
        <w:rPr>
          <w:b/>
          <w:sz w:val="48"/>
        </w:rPr>
      </w:pPr>
    </w:p>
    <w:p w14:paraId="0E632873" w14:textId="77777777" w:rsidR="00FA5728" w:rsidRDefault="00401A0E">
      <w:pPr>
        <w:spacing w:line="276" w:lineRule="auto"/>
        <w:ind w:left="100" w:right="225"/>
        <w:jc w:val="both"/>
        <w:rPr>
          <w:sz w:val="24"/>
        </w:rPr>
      </w:pPr>
      <w:r>
        <w:rPr>
          <w:sz w:val="24"/>
        </w:rPr>
        <w:t>Full academic dress (</w:t>
      </w:r>
      <w:r>
        <w:rPr>
          <w:i/>
          <w:sz w:val="24"/>
        </w:rPr>
        <w:t>sub fusc</w:t>
      </w:r>
      <w:r>
        <w:rPr>
          <w:sz w:val="24"/>
        </w:rPr>
        <w:t xml:space="preserve">) should be worn at all formal University ceremonies including matriculation and degree ceremonies. </w:t>
      </w:r>
      <w:r w:rsidRPr="0043761B">
        <w:rPr>
          <w:i/>
          <w:iCs/>
          <w:sz w:val="24"/>
        </w:rPr>
        <w:t>Sub fusc</w:t>
      </w:r>
      <w:r>
        <w:rPr>
          <w:sz w:val="24"/>
        </w:rPr>
        <w:t xml:space="preserve"> should be worn beneath your academic gown and is also required when sitting examinations.</w:t>
      </w:r>
    </w:p>
    <w:p w14:paraId="0D13796E" w14:textId="77777777" w:rsidR="00FA5728" w:rsidRDefault="00401A0E">
      <w:pPr>
        <w:pStyle w:val="Heading1"/>
        <w:spacing w:before="164"/>
      </w:pPr>
      <w:r>
        <w:t xml:space="preserve">Your </w:t>
      </w:r>
      <w:r w:rsidRPr="0043761B">
        <w:rPr>
          <w:i/>
          <w:iCs/>
        </w:rPr>
        <w:t>sub fusc</w:t>
      </w:r>
    </w:p>
    <w:p w14:paraId="3F262689" w14:textId="77777777" w:rsidR="00FA5728" w:rsidRDefault="00401A0E">
      <w:pPr>
        <w:pStyle w:val="BodyText"/>
        <w:spacing w:before="35"/>
        <w:ind w:left="100"/>
      </w:pPr>
      <w:r>
        <w:t xml:space="preserve">You are required to wear your preference from the following as </w:t>
      </w:r>
      <w:r w:rsidRPr="0043761B">
        <w:rPr>
          <w:i/>
          <w:iCs/>
        </w:rPr>
        <w:t>sub fusc</w:t>
      </w:r>
      <w:r>
        <w:t>:</w:t>
      </w:r>
    </w:p>
    <w:p w14:paraId="35A12ABD" w14:textId="77777777" w:rsidR="00FA5728" w:rsidRDefault="00FA5728">
      <w:pPr>
        <w:pStyle w:val="BodyText"/>
        <w:spacing w:before="4"/>
        <w:rPr>
          <w:sz w:val="24"/>
        </w:rPr>
      </w:pPr>
    </w:p>
    <w:p w14:paraId="02F16DC1" w14:textId="77777777" w:rsidR="00FA5728" w:rsidRDefault="00401A0E">
      <w:pPr>
        <w:pStyle w:val="ListParagraph"/>
        <w:numPr>
          <w:ilvl w:val="0"/>
          <w:numId w:val="3"/>
        </w:numPr>
        <w:tabs>
          <w:tab w:val="left" w:pos="851"/>
          <w:tab w:val="left" w:pos="852"/>
        </w:tabs>
        <w:ind w:hanging="391"/>
      </w:pPr>
      <w:r>
        <w:t>one of:</w:t>
      </w:r>
    </w:p>
    <w:p w14:paraId="030C3778" w14:textId="77777777" w:rsidR="00FA5728" w:rsidRDefault="00401A0E">
      <w:pPr>
        <w:pStyle w:val="ListParagraph"/>
        <w:numPr>
          <w:ilvl w:val="1"/>
          <w:numId w:val="3"/>
        </w:numPr>
        <w:tabs>
          <w:tab w:val="left" w:pos="1540"/>
          <w:tab w:val="left" w:pos="1541"/>
        </w:tabs>
        <w:spacing w:before="38"/>
      </w:pPr>
      <w:r>
        <w:t>dark suit with dark socks,</w:t>
      </w:r>
      <w:r>
        <w:rPr>
          <w:spacing w:val="-4"/>
        </w:rPr>
        <w:t xml:space="preserve"> </w:t>
      </w:r>
      <w:r>
        <w:rPr>
          <w:spacing w:val="-3"/>
        </w:rPr>
        <w:t>or</w:t>
      </w:r>
    </w:p>
    <w:p w14:paraId="06B8AC79" w14:textId="77777777" w:rsidR="00FA5728" w:rsidRDefault="00401A0E">
      <w:pPr>
        <w:pStyle w:val="ListParagraph"/>
        <w:numPr>
          <w:ilvl w:val="1"/>
          <w:numId w:val="3"/>
        </w:numPr>
        <w:tabs>
          <w:tab w:val="left" w:pos="1541"/>
        </w:tabs>
        <w:spacing w:before="37"/>
      </w:pPr>
      <w:r>
        <w:t>dark skirt with black tights,</w:t>
      </w:r>
      <w:r>
        <w:rPr>
          <w:spacing w:val="-7"/>
        </w:rPr>
        <w:t xml:space="preserve"> </w:t>
      </w:r>
      <w:r>
        <w:t>or</w:t>
      </w:r>
    </w:p>
    <w:p w14:paraId="75BD5911" w14:textId="77777777" w:rsidR="00FA5728" w:rsidRDefault="00401A0E">
      <w:pPr>
        <w:pStyle w:val="ListParagraph"/>
        <w:numPr>
          <w:ilvl w:val="1"/>
          <w:numId w:val="3"/>
        </w:numPr>
        <w:tabs>
          <w:tab w:val="left" w:pos="1540"/>
          <w:tab w:val="left" w:pos="1541"/>
        </w:tabs>
        <w:spacing w:before="38"/>
      </w:pPr>
      <w:r>
        <w:t>dark trousers with dark socks or dark</w:t>
      </w:r>
      <w:r>
        <w:rPr>
          <w:spacing w:val="-8"/>
        </w:rPr>
        <w:t xml:space="preserve"> </w:t>
      </w:r>
      <w:r>
        <w:t>hosiery</w:t>
      </w:r>
    </w:p>
    <w:p w14:paraId="7C0EE5D0" w14:textId="77777777" w:rsidR="00FA5728" w:rsidRDefault="00FA5728">
      <w:pPr>
        <w:pStyle w:val="BodyText"/>
        <w:spacing w:before="1"/>
        <w:rPr>
          <w:sz w:val="24"/>
        </w:rPr>
      </w:pPr>
    </w:p>
    <w:p w14:paraId="6293684D" w14:textId="77777777" w:rsidR="00FA5728" w:rsidRDefault="00401A0E">
      <w:pPr>
        <w:pStyle w:val="BodyText"/>
        <w:spacing w:before="1" w:line="276" w:lineRule="auto"/>
        <w:ind w:left="100" w:right="2328"/>
      </w:pPr>
      <w:r>
        <w:t>Socks and tights must cover the ankle entirely. Where socks are worn, there should be no gap between the bottom of the trouser leg or skirt and the top of the socks or stockings.</w:t>
      </w:r>
    </w:p>
    <w:p w14:paraId="4C154909" w14:textId="77777777" w:rsidR="00FA5728" w:rsidRDefault="00FA5728">
      <w:pPr>
        <w:pStyle w:val="BodyText"/>
        <w:spacing w:before="10"/>
        <w:rPr>
          <w:sz w:val="20"/>
        </w:rPr>
      </w:pPr>
    </w:p>
    <w:p w14:paraId="679FA9CC" w14:textId="77777777" w:rsidR="00FA5728" w:rsidRDefault="00401A0E">
      <w:pPr>
        <w:pStyle w:val="ListParagraph"/>
        <w:numPr>
          <w:ilvl w:val="0"/>
          <w:numId w:val="3"/>
        </w:numPr>
        <w:tabs>
          <w:tab w:val="left" w:pos="851"/>
          <w:tab w:val="left" w:pos="852"/>
        </w:tabs>
        <w:ind w:hanging="391"/>
      </w:pPr>
      <w:r>
        <w:t>dark jacket, if required - worn underneath the</w:t>
      </w:r>
      <w:r>
        <w:rPr>
          <w:spacing w:val="-12"/>
        </w:rPr>
        <w:t xml:space="preserve"> </w:t>
      </w:r>
      <w:r>
        <w:t>gown</w:t>
      </w:r>
    </w:p>
    <w:p w14:paraId="7341D48B" w14:textId="77777777" w:rsidR="00FA5728" w:rsidRDefault="00401A0E">
      <w:pPr>
        <w:pStyle w:val="ListParagraph"/>
        <w:numPr>
          <w:ilvl w:val="0"/>
          <w:numId w:val="3"/>
        </w:numPr>
        <w:tabs>
          <w:tab w:val="left" w:pos="851"/>
          <w:tab w:val="left" w:pos="852"/>
        </w:tabs>
        <w:spacing w:before="38"/>
        <w:ind w:hanging="391"/>
      </w:pPr>
      <w:r>
        <w:t>black</w:t>
      </w:r>
      <w:r>
        <w:rPr>
          <w:spacing w:val="-2"/>
        </w:rPr>
        <w:t xml:space="preserve"> </w:t>
      </w:r>
      <w:r>
        <w:t>shoes</w:t>
      </w:r>
    </w:p>
    <w:p w14:paraId="3F83C5BE" w14:textId="77777777" w:rsidR="00FA5728" w:rsidRDefault="00401A0E">
      <w:pPr>
        <w:pStyle w:val="ListParagraph"/>
        <w:numPr>
          <w:ilvl w:val="0"/>
          <w:numId w:val="3"/>
        </w:numPr>
        <w:tabs>
          <w:tab w:val="left" w:pos="851"/>
          <w:tab w:val="left" w:pos="852"/>
        </w:tabs>
        <w:spacing w:before="40"/>
        <w:ind w:hanging="391"/>
      </w:pPr>
      <w:r>
        <w:t>plain white collared shirt or</w:t>
      </w:r>
      <w:r>
        <w:rPr>
          <w:spacing w:val="-3"/>
        </w:rPr>
        <w:t xml:space="preserve"> </w:t>
      </w:r>
      <w:r>
        <w:t>blouse</w:t>
      </w:r>
    </w:p>
    <w:p w14:paraId="3D45DD92" w14:textId="5F5CAE73" w:rsidR="00FA5728" w:rsidRDefault="00401A0E">
      <w:pPr>
        <w:pStyle w:val="ListParagraph"/>
        <w:numPr>
          <w:ilvl w:val="0"/>
          <w:numId w:val="3"/>
        </w:numPr>
        <w:tabs>
          <w:tab w:val="left" w:pos="851"/>
          <w:tab w:val="left" w:pos="852"/>
        </w:tabs>
        <w:spacing w:before="37"/>
        <w:ind w:hanging="391"/>
      </w:pPr>
      <w:r>
        <w:t>white bow tie, or black</w:t>
      </w:r>
      <w:r>
        <w:rPr>
          <w:spacing w:val="-13"/>
        </w:rPr>
        <w:t xml:space="preserve"> </w:t>
      </w:r>
      <w:r>
        <w:t>ribbon</w:t>
      </w:r>
      <w:r w:rsidR="00570ADF">
        <w:t xml:space="preserve"> (black tie also acceptable).</w:t>
      </w:r>
    </w:p>
    <w:p w14:paraId="3C51F1D2" w14:textId="77777777" w:rsidR="00FA5728" w:rsidRDefault="00FA5728">
      <w:pPr>
        <w:pStyle w:val="BodyText"/>
        <w:spacing w:before="7"/>
        <w:rPr>
          <w:sz w:val="24"/>
        </w:rPr>
      </w:pPr>
    </w:p>
    <w:p w14:paraId="2EB6DF94" w14:textId="77777777" w:rsidR="00FA5728" w:rsidRDefault="00401A0E">
      <w:pPr>
        <w:pStyle w:val="Heading1"/>
      </w:pPr>
      <w:r>
        <w:t>PLUS:</w:t>
      </w:r>
    </w:p>
    <w:p w14:paraId="38AC05E3" w14:textId="77777777" w:rsidR="00FA5728" w:rsidRDefault="00FA5728">
      <w:pPr>
        <w:pStyle w:val="BodyText"/>
        <w:spacing w:before="4"/>
        <w:rPr>
          <w:b/>
          <w:sz w:val="28"/>
        </w:rPr>
      </w:pPr>
    </w:p>
    <w:p w14:paraId="3A6A9621" w14:textId="77777777" w:rsidR="00FA5728" w:rsidRDefault="00401A0E">
      <w:pPr>
        <w:pStyle w:val="ListParagraph"/>
        <w:numPr>
          <w:ilvl w:val="0"/>
          <w:numId w:val="2"/>
        </w:numPr>
        <w:tabs>
          <w:tab w:val="left" w:pos="821"/>
        </w:tabs>
        <w:spacing w:line="278" w:lineRule="auto"/>
        <w:ind w:right="2646"/>
      </w:pPr>
      <w:r>
        <w:t>the appropriate academic gown (see below</w:t>
      </w:r>
      <w:r>
        <w:rPr>
          <w:color w:val="2C2C2C"/>
        </w:rPr>
        <w:t>;</w:t>
      </w:r>
      <w:r>
        <w:rPr>
          <w:color w:val="3479B1"/>
        </w:rPr>
        <w:t xml:space="preserve"> </w:t>
      </w:r>
      <w:hyperlink r:id="rId6">
        <w:r>
          <w:rPr>
            <w:color w:val="3479B1"/>
            <w:u w:val="single" w:color="3479B1"/>
          </w:rPr>
          <w:t>Academic Gowns for</w:t>
        </w:r>
      </w:hyperlink>
      <w:hyperlink r:id="rId7">
        <w:r>
          <w:rPr>
            <w:color w:val="3479B1"/>
            <w:u w:val="single" w:color="3479B1"/>
          </w:rPr>
          <w:t xml:space="preserve"> Students</w:t>
        </w:r>
      </w:hyperlink>
      <w:r>
        <w:rPr>
          <w:color w:val="2C2C2C"/>
        </w:rPr>
        <w:t>)</w:t>
      </w:r>
    </w:p>
    <w:p w14:paraId="260E4077" w14:textId="77777777" w:rsidR="00FA5728" w:rsidRDefault="00401A0E">
      <w:pPr>
        <w:pStyle w:val="ListParagraph"/>
        <w:numPr>
          <w:ilvl w:val="0"/>
          <w:numId w:val="2"/>
        </w:numPr>
        <w:tabs>
          <w:tab w:val="left" w:pos="821"/>
        </w:tabs>
        <w:spacing w:line="250" w:lineRule="exact"/>
      </w:pPr>
      <w:r>
        <w:t>mortar board or soft cap</w:t>
      </w:r>
    </w:p>
    <w:p w14:paraId="0BCBCBDB" w14:textId="77777777" w:rsidR="00FA5728" w:rsidRDefault="00FA5728">
      <w:pPr>
        <w:pStyle w:val="BodyText"/>
        <w:spacing w:before="11"/>
        <w:rPr>
          <w:sz w:val="28"/>
        </w:rPr>
      </w:pPr>
    </w:p>
    <w:p w14:paraId="245853FF" w14:textId="77777777" w:rsidR="00FA5728" w:rsidRDefault="00401A0E">
      <w:pPr>
        <w:pStyle w:val="Heading1"/>
      </w:pPr>
      <w:r>
        <w:t>Additional notes</w:t>
      </w:r>
    </w:p>
    <w:p w14:paraId="6B9B2365" w14:textId="77777777" w:rsidR="00FA5728" w:rsidRDefault="00FA5728">
      <w:pPr>
        <w:pStyle w:val="BodyText"/>
        <w:spacing w:before="7"/>
        <w:rPr>
          <w:b/>
          <w:sz w:val="28"/>
        </w:rPr>
      </w:pPr>
    </w:p>
    <w:p w14:paraId="39A9B7A7" w14:textId="77777777" w:rsidR="00FA5728" w:rsidRDefault="00401A0E">
      <w:pPr>
        <w:pStyle w:val="ListParagraph"/>
        <w:numPr>
          <w:ilvl w:val="0"/>
          <w:numId w:val="1"/>
        </w:numPr>
        <w:tabs>
          <w:tab w:val="left" w:pos="820"/>
          <w:tab w:val="left" w:pos="821"/>
        </w:tabs>
        <w:spacing w:line="273" w:lineRule="auto"/>
        <w:ind w:right="2420"/>
      </w:pPr>
      <w:r>
        <w:t>‘Dark’ in this context means dark grey, dark blue or black. Clothing must be plain; pinstripes and similar patterns are not</w:t>
      </w:r>
      <w:r>
        <w:rPr>
          <w:spacing w:val="-8"/>
        </w:rPr>
        <w:t xml:space="preserve"> </w:t>
      </w:r>
      <w:r>
        <w:t>permitted.</w:t>
      </w:r>
    </w:p>
    <w:p w14:paraId="3EF7531E" w14:textId="77777777" w:rsidR="00FA5728" w:rsidRDefault="00401A0E">
      <w:pPr>
        <w:pStyle w:val="ListParagraph"/>
        <w:numPr>
          <w:ilvl w:val="0"/>
          <w:numId w:val="1"/>
        </w:numPr>
        <w:tabs>
          <w:tab w:val="left" w:pos="820"/>
          <w:tab w:val="left" w:pos="821"/>
        </w:tabs>
        <w:spacing w:before="2" w:line="273" w:lineRule="auto"/>
        <w:ind w:right="2915"/>
      </w:pPr>
      <w:r>
        <w:t>When wearing sub-fusc, your clothing must not leave any part of your legs, ankles, or feet</w:t>
      </w:r>
      <w:r>
        <w:rPr>
          <w:spacing w:val="2"/>
        </w:rPr>
        <w:t xml:space="preserve"> </w:t>
      </w:r>
      <w:r>
        <w:t>uncovered.</w:t>
      </w:r>
    </w:p>
    <w:p w14:paraId="313C6A62" w14:textId="77777777" w:rsidR="00FA5728" w:rsidRDefault="00401A0E">
      <w:pPr>
        <w:pStyle w:val="ListParagraph"/>
        <w:numPr>
          <w:ilvl w:val="0"/>
          <w:numId w:val="1"/>
        </w:numPr>
        <w:tabs>
          <w:tab w:val="left" w:pos="820"/>
          <w:tab w:val="left" w:pos="821"/>
        </w:tabs>
        <w:spacing w:before="2" w:line="273" w:lineRule="auto"/>
        <w:ind w:right="2636"/>
      </w:pPr>
      <w:r>
        <w:t>The mortar board may be worn out of doors but must be removed and carried</w:t>
      </w:r>
      <w:r>
        <w:rPr>
          <w:spacing w:val="-3"/>
        </w:rPr>
        <w:t xml:space="preserve"> </w:t>
      </w:r>
      <w:r>
        <w:t>indoors.</w:t>
      </w:r>
    </w:p>
    <w:p w14:paraId="75CA0C30" w14:textId="77777777" w:rsidR="00FA5728" w:rsidRDefault="00401A0E">
      <w:pPr>
        <w:pStyle w:val="ListParagraph"/>
        <w:numPr>
          <w:ilvl w:val="0"/>
          <w:numId w:val="1"/>
        </w:numPr>
        <w:tabs>
          <w:tab w:val="left" w:pos="820"/>
          <w:tab w:val="left" w:pos="821"/>
        </w:tabs>
        <w:spacing w:before="2" w:line="273" w:lineRule="auto"/>
        <w:ind w:right="2770"/>
      </w:pPr>
      <w:r>
        <w:t>Ministers of religion may wear clerical dress, with a gown over, when attending</w:t>
      </w:r>
      <w:r>
        <w:rPr>
          <w:spacing w:val="-3"/>
        </w:rPr>
        <w:t xml:space="preserve"> </w:t>
      </w:r>
      <w:r>
        <w:t>ceremonies.</w:t>
      </w:r>
    </w:p>
    <w:p w14:paraId="63427E6D" w14:textId="77777777" w:rsidR="00FA5728" w:rsidRDefault="00401A0E">
      <w:pPr>
        <w:pStyle w:val="ListParagraph"/>
        <w:numPr>
          <w:ilvl w:val="0"/>
          <w:numId w:val="1"/>
        </w:numPr>
        <w:tabs>
          <w:tab w:val="left" w:pos="820"/>
          <w:tab w:val="left" w:pos="821"/>
        </w:tabs>
        <w:spacing w:before="3" w:line="273" w:lineRule="auto"/>
        <w:ind w:right="2586"/>
      </w:pPr>
      <w:r>
        <w:t>If you wear a head dress / scarf for religious reasons, a black scarf should be</w:t>
      </w:r>
      <w:r>
        <w:rPr>
          <w:spacing w:val="-1"/>
        </w:rPr>
        <w:t xml:space="preserve"> </w:t>
      </w:r>
      <w:r>
        <w:t>worn.</w:t>
      </w:r>
    </w:p>
    <w:p w14:paraId="08F91882" w14:textId="77777777" w:rsidR="00FA5728" w:rsidRDefault="00401A0E">
      <w:pPr>
        <w:pStyle w:val="ListParagraph"/>
        <w:numPr>
          <w:ilvl w:val="0"/>
          <w:numId w:val="1"/>
        </w:numPr>
        <w:tabs>
          <w:tab w:val="left" w:pos="820"/>
          <w:tab w:val="left" w:pos="821"/>
        </w:tabs>
        <w:spacing w:before="2" w:line="273" w:lineRule="auto"/>
        <w:ind w:right="2658"/>
      </w:pPr>
      <w:r>
        <w:t xml:space="preserve">Members of the armed forces may wear service dress under their gown, in place of sub fusc. This is only applicable to members of The British Armed Forces in the UK. Uniform caps should </w:t>
      </w:r>
      <w:r>
        <w:rPr>
          <w:spacing w:val="-3"/>
        </w:rPr>
        <w:t xml:space="preserve">be </w:t>
      </w:r>
      <w:r>
        <w:t>removed when</w:t>
      </w:r>
      <w:r>
        <w:rPr>
          <w:spacing w:val="-1"/>
        </w:rPr>
        <w:t xml:space="preserve"> </w:t>
      </w:r>
      <w:r>
        <w:t>indoors.</w:t>
      </w:r>
    </w:p>
    <w:sectPr w:rsidR="00FA5728">
      <w:type w:val="continuous"/>
      <w:pgSz w:w="11910" w:h="16840"/>
      <w:pgMar w:top="360" w:right="134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87003"/>
    <w:multiLevelType w:val="hybridMultilevel"/>
    <w:tmpl w:val="033EB0A0"/>
    <w:lvl w:ilvl="0" w:tplc="7EB66C96">
      <w:start w:val="1"/>
      <w:numFmt w:val="decimal"/>
      <w:lvlText w:val="%1."/>
      <w:lvlJc w:val="left"/>
      <w:pPr>
        <w:ind w:left="820" w:hanging="360"/>
        <w:jc w:val="left"/>
      </w:pPr>
      <w:rPr>
        <w:rFonts w:ascii="Times New Roman" w:eastAsia="Times New Roman" w:hAnsi="Times New Roman" w:cs="Times New Roman" w:hint="default"/>
        <w:color w:val="2C2C2C"/>
        <w:w w:val="100"/>
        <w:sz w:val="22"/>
        <w:szCs w:val="22"/>
        <w:lang w:val="en-GB" w:eastAsia="en-GB" w:bidi="en-GB"/>
      </w:rPr>
    </w:lvl>
    <w:lvl w:ilvl="1" w:tplc="57641B20">
      <w:numFmt w:val="bullet"/>
      <w:lvlText w:val="•"/>
      <w:lvlJc w:val="left"/>
      <w:pPr>
        <w:ind w:left="1660" w:hanging="360"/>
      </w:pPr>
      <w:rPr>
        <w:rFonts w:hint="default"/>
        <w:lang w:val="en-GB" w:eastAsia="en-GB" w:bidi="en-GB"/>
      </w:rPr>
    </w:lvl>
    <w:lvl w:ilvl="2" w:tplc="F7C60386">
      <w:numFmt w:val="bullet"/>
      <w:lvlText w:val="•"/>
      <w:lvlJc w:val="left"/>
      <w:pPr>
        <w:ind w:left="2501" w:hanging="360"/>
      </w:pPr>
      <w:rPr>
        <w:rFonts w:hint="default"/>
        <w:lang w:val="en-GB" w:eastAsia="en-GB" w:bidi="en-GB"/>
      </w:rPr>
    </w:lvl>
    <w:lvl w:ilvl="3" w:tplc="8AA42426">
      <w:numFmt w:val="bullet"/>
      <w:lvlText w:val="•"/>
      <w:lvlJc w:val="left"/>
      <w:pPr>
        <w:ind w:left="3341" w:hanging="360"/>
      </w:pPr>
      <w:rPr>
        <w:rFonts w:hint="default"/>
        <w:lang w:val="en-GB" w:eastAsia="en-GB" w:bidi="en-GB"/>
      </w:rPr>
    </w:lvl>
    <w:lvl w:ilvl="4" w:tplc="3FF4E752">
      <w:numFmt w:val="bullet"/>
      <w:lvlText w:val="•"/>
      <w:lvlJc w:val="left"/>
      <w:pPr>
        <w:ind w:left="4182" w:hanging="360"/>
      </w:pPr>
      <w:rPr>
        <w:rFonts w:hint="default"/>
        <w:lang w:val="en-GB" w:eastAsia="en-GB" w:bidi="en-GB"/>
      </w:rPr>
    </w:lvl>
    <w:lvl w:ilvl="5" w:tplc="EC0644AA">
      <w:numFmt w:val="bullet"/>
      <w:lvlText w:val="•"/>
      <w:lvlJc w:val="left"/>
      <w:pPr>
        <w:ind w:left="5023" w:hanging="360"/>
      </w:pPr>
      <w:rPr>
        <w:rFonts w:hint="default"/>
        <w:lang w:val="en-GB" w:eastAsia="en-GB" w:bidi="en-GB"/>
      </w:rPr>
    </w:lvl>
    <w:lvl w:ilvl="6" w:tplc="A30C8300">
      <w:numFmt w:val="bullet"/>
      <w:lvlText w:val="•"/>
      <w:lvlJc w:val="left"/>
      <w:pPr>
        <w:ind w:left="5863" w:hanging="360"/>
      </w:pPr>
      <w:rPr>
        <w:rFonts w:hint="default"/>
        <w:lang w:val="en-GB" w:eastAsia="en-GB" w:bidi="en-GB"/>
      </w:rPr>
    </w:lvl>
    <w:lvl w:ilvl="7" w:tplc="2222D130">
      <w:numFmt w:val="bullet"/>
      <w:lvlText w:val="•"/>
      <w:lvlJc w:val="left"/>
      <w:pPr>
        <w:ind w:left="6704" w:hanging="360"/>
      </w:pPr>
      <w:rPr>
        <w:rFonts w:hint="default"/>
        <w:lang w:val="en-GB" w:eastAsia="en-GB" w:bidi="en-GB"/>
      </w:rPr>
    </w:lvl>
    <w:lvl w:ilvl="8" w:tplc="D7FA49AE">
      <w:numFmt w:val="bullet"/>
      <w:lvlText w:val="•"/>
      <w:lvlJc w:val="left"/>
      <w:pPr>
        <w:ind w:left="7545" w:hanging="360"/>
      </w:pPr>
      <w:rPr>
        <w:rFonts w:hint="default"/>
        <w:lang w:val="en-GB" w:eastAsia="en-GB" w:bidi="en-GB"/>
      </w:rPr>
    </w:lvl>
  </w:abstractNum>
  <w:abstractNum w:abstractNumId="1" w15:restartNumberingAfterBreak="0">
    <w:nsid w:val="0F6138C2"/>
    <w:multiLevelType w:val="hybridMultilevel"/>
    <w:tmpl w:val="33F6E664"/>
    <w:lvl w:ilvl="0" w:tplc="277E6528">
      <w:start w:val="1"/>
      <w:numFmt w:val="decimal"/>
      <w:lvlText w:val="%1."/>
      <w:lvlJc w:val="left"/>
      <w:pPr>
        <w:ind w:left="851" w:hanging="392"/>
        <w:jc w:val="left"/>
      </w:pPr>
      <w:rPr>
        <w:rFonts w:ascii="Times New Roman" w:eastAsia="Times New Roman" w:hAnsi="Times New Roman" w:cs="Times New Roman" w:hint="default"/>
        <w:w w:val="100"/>
        <w:sz w:val="22"/>
        <w:szCs w:val="22"/>
        <w:lang w:val="en-GB" w:eastAsia="en-GB" w:bidi="en-GB"/>
      </w:rPr>
    </w:lvl>
    <w:lvl w:ilvl="1" w:tplc="333E63A4">
      <w:start w:val="1"/>
      <w:numFmt w:val="lowerLetter"/>
      <w:lvlText w:val="%2."/>
      <w:lvlJc w:val="left"/>
      <w:pPr>
        <w:ind w:left="1540" w:hanging="360"/>
        <w:jc w:val="left"/>
      </w:pPr>
      <w:rPr>
        <w:rFonts w:ascii="Times New Roman" w:eastAsia="Times New Roman" w:hAnsi="Times New Roman" w:cs="Times New Roman" w:hint="default"/>
        <w:w w:val="100"/>
        <w:sz w:val="22"/>
        <w:szCs w:val="22"/>
        <w:lang w:val="en-GB" w:eastAsia="en-GB" w:bidi="en-GB"/>
      </w:rPr>
    </w:lvl>
    <w:lvl w:ilvl="2" w:tplc="17660B32">
      <w:numFmt w:val="bullet"/>
      <w:lvlText w:val="•"/>
      <w:lvlJc w:val="left"/>
      <w:pPr>
        <w:ind w:left="2394" w:hanging="360"/>
      </w:pPr>
      <w:rPr>
        <w:rFonts w:hint="default"/>
        <w:lang w:val="en-GB" w:eastAsia="en-GB" w:bidi="en-GB"/>
      </w:rPr>
    </w:lvl>
    <w:lvl w:ilvl="3" w:tplc="CD166B0C">
      <w:numFmt w:val="bullet"/>
      <w:lvlText w:val="•"/>
      <w:lvlJc w:val="left"/>
      <w:pPr>
        <w:ind w:left="3248" w:hanging="360"/>
      </w:pPr>
      <w:rPr>
        <w:rFonts w:hint="default"/>
        <w:lang w:val="en-GB" w:eastAsia="en-GB" w:bidi="en-GB"/>
      </w:rPr>
    </w:lvl>
    <w:lvl w:ilvl="4" w:tplc="1F348DB6">
      <w:numFmt w:val="bullet"/>
      <w:lvlText w:val="•"/>
      <w:lvlJc w:val="left"/>
      <w:pPr>
        <w:ind w:left="4102" w:hanging="360"/>
      </w:pPr>
      <w:rPr>
        <w:rFonts w:hint="default"/>
        <w:lang w:val="en-GB" w:eastAsia="en-GB" w:bidi="en-GB"/>
      </w:rPr>
    </w:lvl>
    <w:lvl w:ilvl="5" w:tplc="181098C2">
      <w:numFmt w:val="bullet"/>
      <w:lvlText w:val="•"/>
      <w:lvlJc w:val="left"/>
      <w:pPr>
        <w:ind w:left="4956" w:hanging="360"/>
      </w:pPr>
      <w:rPr>
        <w:rFonts w:hint="default"/>
        <w:lang w:val="en-GB" w:eastAsia="en-GB" w:bidi="en-GB"/>
      </w:rPr>
    </w:lvl>
    <w:lvl w:ilvl="6" w:tplc="EBB2B37C">
      <w:numFmt w:val="bullet"/>
      <w:lvlText w:val="•"/>
      <w:lvlJc w:val="left"/>
      <w:pPr>
        <w:ind w:left="5810" w:hanging="360"/>
      </w:pPr>
      <w:rPr>
        <w:rFonts w:hint="default"/>
        <w:lang w:val="en-GB" w:eastAsia="en-GB" w:bidi="en-GB"/>
      </w:rPr>
    </w:lvl>
    <w:lvl w:ilvl="7" w:tplc="367C7DB8">
      <w:numFmt w:val="bullet"/>
      <w:lvlText w:val="•"/>
      <w:lvlJc w:val="left"/>
      <w:pPr>
        <w:ind w:left="6664" w:hanging="360"/>
      </w:pPr>
      <w:rPr>
        <w:rFonts w:hint="default"/>
        <w:lang w:val="en-GB" w:eastAsia="en-GB" w:bidi="en-GB"/>
      </w:rPr>
    </w:lvl>
    <w:lvl w:ilvl="8" w:tplc="8D683592">
      <w:numFmt w:val="bullet"/>
      <w:lvlText w:val="•"/>
      <w:lvlJc w:val="left"/>
      <w:pPr>
        <w:ind w:left="7518" w:hanging="360"/>
      </w:pPr>
      <w:rPr>
        <w:rFonts w:hint="default"/>
        <w:lang w:val="en-GB" w:eastAsia="en-GB" w:bidi="en-GB"/>
      </w:rPr>
    </w:lvl>
  </w:abstractNum>
  <w:abstractNum w:abstractNumId="2" w15:restartNumberingAfterBreak="0">
    <w:nsid w:val="607D5403"/>
    <w:multiLevelType w:val="hybridMultilevel"/>
    <w:tmpl w:val="75247394"/>
    <w:lvl w:ilvl="0" w:tplc="621E94D6">
      <w:numFmt w:val="bullet"/>
      <w:lvlText w:val=""/>
      <w:lvlJc w:val="left"/>
      <w:pPr>
        <w:ind w:left="820" w:hanging="360"/>
      </w:pPr>
      <w:rPr>
        <w:rFonts w:ascii="Symbol" w:eastAsia="Symbol" w:hAnsi="Symbol" w:cs="Symbol" w:hint="default"/>
        <w:w w:val="100"/>
        <w:sz w:val="22"/>
        <w:szCs w:val="22"/>
        <w:lang w:val="en-GB" w:eastAsia="en-GB" w:bidi="en-GB"/>
      </w:rPr>
    </w:lvl>
    <w:lvl w:ilvl="1" w:tplc="3FDAFF6A">
      <w:numFmt w:val="bullet"/>
      <w:lvlText w:val="•"/>
      <w:lvlJc w:val="left"/>
      <w:pPr>
        <w:ind w:left="1660" w:hanging="360"/>
      </w:pPr>
      <w:rPr>
        <w:rFonts w:hint="default"/>
        <w:lang w:val="en-GB" w:eastAsia="en-GB" w:bidi="en-GB"/>
      </w:rPr>
    </w:lvl>
    <w:lvl w:ilvl="2" w:tplc="51C085E8">
      <w:numFmt w:val="bullet"/>
      <w:lvlText w:val="•"/>
      <w:lvlJc w:val="left"/>
      <w:pPr>
        <w:ind w:left="2501" w:hanging="360"/>
      </w:pPr>
      <w:rPr>
        <w:rFonts w:hint="default"/>
        <w:lang w:val="en-GB" w:eastAsia="en-GB" w:bidi="en-GB"/>
      </w:rPr>
    </w:lvl>
    <w:lvl w:ilvl="3" w:tplc="A41420E6">
      <w:numFmt w:val="bullet"/>
      <w:lvlText w:val="•"/>
      <w:lvlJc w:val="left"/>
      <w:pPr>
        <w:ind w:left="3341" w:hanging="360"/>
      </w:pPr>
      <w:rPr>
        <w:rFonts w:hint="default"/>
        <w:lang w:val="en-GB" w:eastAsia="en-GB" w:bidi="en-GB"/>
      </w:rPr>
    </w:lvl>
    <w:lvl w:ilvl="4" w:tplc="776263A6">
      <w:numFmt w:val="bullet"/>
      <w:lvlText w:val="•"/>
      <w:lvlJc w:val="left"/>
      <w:pPr>
        <w:ind w:left="4182" w:hanging="360"/>
      </w:pPr>
      <w:rPr>
        <w:rFonts w:hint="default"/>
        <w:lang w:val="en-GB" w:eastAsia="en-GB" w:bidi="en-GB"/>
      </w:rPr>
    </w:lvl>
    <w:lvl w:ilvl="5" w:tplc="2F3A3766">
      <w:numFmt w:val="bullet"/>
      <w:lvlText w:val="•"/>
      <w:lvlJc w:val="left"/>
      <w:pPr>
        <w:ind w:left="5023" w:hanging="360"/>
      </w:pPr>
      <w:rPr>
        <w:rFonts w:hint="default"/>
        <w:lang w:val="en-GB" w:eastAsia="en-GB" w:bidi="en-GB"/>
      </w:rPr>
    </w:lvl>
    <w:lvl w:ilvl="6" w:tplc="C8EC85EA">
      <w:numFmt w:val="bullet"/>
      <w:lvlText w:val="•"/>
      <w:lvlJc w:val="left"/>
      <w:pPr>
        <w:ind w:left="5863" w:hanging="360"/>
      </w:pPr>
      <w:rPr>
        <w:rFonts w:hint="default"/>
        <w:lang w:val="en-GB" w:eastAsia="en-GB" w:bidi="en-GB"/>
      </w:rPr>
    </w:lvl>
    <w:lvl w:ilvl="7" w:tplc="D84800F0">
      <w:numFmt w:val="bullet"/>
      <w:lvlText w:val="•"/>
      <w:lvlJc w:val="left"/>
      <w:pPr>
        <w:ind w:left="6704" w:hanging="360"/>
      </w:pPr>
      <w:rPr>
        <w:rFonts w:hint="default"/>
        <w:lang w:val="en-GB" w:eastAsia="en-GB" w:bidi="en-GB"/>
      </w:rPr>
    </w:lvl>
    <w:lvl w:ilvl="8" w:tplc="47307EAC">
      <w:numFmt w:val="bullet"/>
      <w:lvlText w:val="•"/>
      <w:lvlJc w:val="left"/>
      <w:pPr>
        <w:ind w:left="7545" w:hanging="360"/>
      </w:pPr>
      <w:rPr>
        <w:rFonts w:hint="default"/>
        <w:lang w:val="en-GB" w:eastAsia="en-GB" w:bidi="en-GB"/>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728"/>
    <w:rsid w:val="002279BB"/>
    <w:rsid w:val="00401A0E"/>
    <w:rsid w:val="0043761B"/>
    <w:rsid w:val="00570ADF"/>
    <w:rsid w:val="00F17C5D"/>
    <w:rsid w:val="00FA57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E77D4"/>
  <w15:docId w15:val="{2B665967-45BA-49BB-A72A-637FD5ACA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en-GB" w:eastAsia="en-GB" w:bidi="en-GB"/>
    </w:rPr>
  </w:style>
  <w:style w:type="paragraph" w:styleId="Heading1">
    <w:name w:val="heading 1"/>
    <w:basedOn w:val="Normal"/>
    <w:uiPriority w:val="9"/>
    <w:qFormat/>
    <w:pPr>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ox.ac.uk/students/academic/dress?wssl=1&amp;amp;unique-identifi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ox.ac.uk/students/academic/dress?wssl=1&amp;amp;unique-identifier"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270</Words>
  <Characters>1543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St Hughs College</Company>
  <LinksUpToDate>false</LinksUpToDate>
  <CharactersWithSpaces>1810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Sinead Adams</dc:creator>
  <cp:lastModifiedBy>Jessica Judges</cp:lastModifiedBy>
  <cp:revision>2</cp:revision>
  <dcterms:created xsi:type="dcterms:W3CDTF">2025-06-25T11:06:00Z</dcterms:created>
  <dcterms:modified xsi:type="dcterms:W3CDTF">2025-06-25T11:06:00Z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2020-07-23T00:00:00Z</vt:filetime>
  </property>
  <property fmtid="{D5CDD505-2E9C-101B-9397-08002B2CF9AE}" pid="3" name="Creator">
    <vt:lpwstr>Microsoft® Word 2016</vt:lpwstr>
  </property>
  <property fmtid="{D5CDD505-2E9C-101B-9397-08002B2CF9AE}" pid="4" name="LastSaved">
    <vt:filetime>2022-08-08T00:00:00Z</vt:filetime>
  </property>
</Properties>
</file>